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III 57</w:t>
      </w:r>
    </w:p>
    <w:p>
      <w:r>
        <w:t>Bundesgericht (BGE), 1971-06-23, FR</w:t>
      </w:r>
    </w:p>
    <w:p>
      <w:r>
        <w:rPr>
          <w:b/>
        </w:rPr>
        <w:t xml:space="preserve">Quelle: </w:t>
      </w:r>
      <w:r>
        <w:t>https://mcp.opencaselaw.ch/entscheid/bge_97 III 57</w:t>
      </w:r>
    </w:p>
    <w:p>
      <w:r>
        <w:t>FR: ATF 97 III 57</w:t>
      </w:r>
    </w:p>
    <w:p>
      <w:r>
        <w:t>IT: DTF 97 III 57</w:t>
      </w:r>
    </w:p>
    <w:p>
      <w:pPr>
        <w:pStyle w:val="Heading2"/>
      </w:pPr>
      <w:r>
        <w:t>Regeste</w:t>
      </w:r>
    </w:p>
    <w:p>
      <w:r>
        <w:t>Regeste Art. 92 Ziff. 3 SchKG, Unpfändbarkeit eines Automobils. 1. Die Aufsichtsbehörde hat die für die Anwendung von Art. 92 SchKG massgebenden Tatsachen von Amtes wegen abzuklären, selbst wenn der Schuldner bloss Angaben macht, die für die Beurteilung der Lage nicht genügen (Bestätigung der Rechtsprechung; Erw. 2). 2. Massgebend sind die Umstände, die im Zeitpunkt der Aufnahme des Inventars bestehen (Erw. 3).</w:t>
      </w:r>
    </w:p>
    <w:p>
      <w:pPr>
        <w:pStyle w:val="Heading2"/>
      </w:pPr>
      <w:r>
        <w:t>Erwägungen</w:t>
      </w:r>
    </w:p>
    <w:p>
      <w:r>
        <w:rPr>
          <w:b/>
        </w:rPr>
        <w:t>E. 1</w:t>
      </w:r>
    </w:p>
    <w:p>
      <w:r>
        <w:t>...</w:t>
      </w:r>
    </w:p>
    <w:p>
      <w:r>
        <w:rPr>
          <w:b/>
        </w:rPr>
        <w:t>E. 2</w:t>
      </w:r>
    </w:p>
    <w:p>
      <w:r>
        <w:t>L'insaisissabilité de la voiture litigieuse ne peut être déniée par les seuls motifs de la décision attaquée. Certes, dans l'arrêt auquel elle se réfère (RO 84 III 20 s.), le Tribunal fédéral a admis que le débiteur qui invoque l'insaisissabilité doit établir de façon précise que l'usage d'une voiture se justifie économiquement pour lui. Dans une jurisprudence ultérieure, il a cependant déclaré les motifs de cet arrêt trop absolus (arrêt non publié Aeschlimann, du 27 janvier 1966, consid. 2); il appartient à l'autorité de surveillance d'élucider d'office, éventuellement avec le concours de l'office des poursuites, les faits déterminants pour l'application de l'art. 92 LP, et cela même si le débiteur ne fournit que des renseignements insuffisants pour apprécier la situation (RO 86 III 50, 89 III 34, 91 III 59; arrêt précité Aeschlimann, consid. 2; cf. aussi l'arrêt non publié Leuenberger, du 1er décembre 1969, où le Tribunal fédéral s'est inspiré de considérations analogues pour inviter l'autorité cantonale à compléter ses constatations sur le caractère insaisissable d'une voiture automobile). Sur le vu de cette jurisprudence, l'autorité cantonale n'aurait pas dû se borner à qualifier de "très vagues" les déclarations du recourant et s'abstenir d'élucider elle-même les faits qu'il alléguait; si les conditions relatives au nouvel emploi du recourant avaient été déterminantes, la cause aurait dû lui être renvoyée pour qu'elle opérât les investigations nécessaires à la détermination du caractère prétendument insaisissable du véhicule litigieux.</w:t>
      </w:r>
    </w:p>
    <w:p>
      <w:r>
        <w:rPr>
          <w:b/>
        </w:rPr>
        <w:t>E. 3</w:t>
      </w:r>
    </w:p>
    <w:p>
      <w:r>
        <w:t>Selon un arrêt ancien, seules sont déterminantes les circonstances existantes au moment de la prise d'inventaire (RO 35 I 836 s.). Cette jurisprudence a été confirmée: se référant à la poursuite par voie de saisie, où l'on se fonde en principe sur les conditions de l'époque de l'exécution de la saisie, le Tribunal fédéral déclare déterminantes les circonstances qui existent lors de la déclaration de faillite et peu après (arrêt non publié Hamel, du 1er mai 1965, consid. 2). En l'espèce, il faut donc prendre en considération la situation constatée lors des prises d'inventaire des 7 janvier et 19 février 1971, situation sur laquelle le recourant a d'ailleurs fondé ses deux plaintes à l'autorité inférieure de surveillance. BGE 97 III 57 S. 60 La question de savoir laquelle de ces deux dates est déterminante peut demeurer indécise, puisque le recourant n'a occupé son nouvel emploi qu'un mois environ après la seconde prise d'inventaire. Se fondant sur les déclarations d'un témoin entendu par l'autorité inférieure de surveillance, l'arrêt déféré constate de manière à lier le Tribunal fédéral que le recourant n'avait pas besoin d'une voiture dans l'activité professionnelle qu'il exerçait alors. On ne peut considérer non plus que l'usage d'un véhicule automobile lui sera nécessaire à l'avenir, pour l'exercice de sa profession: il n'appartient pas à l'une de ces catégories particulières de représentants, tels que les représentants en matière d'assurances ou de meubles, dont l'activité nécessite l'emploi d'une voiture. Il est ainsi établi qu'à l'époque déterminante pour juger de l'insaisissabilité du véhicule litigieux l'usage d'une voiture automobile n'était pas indispensable à l'exercice de la profession du recourant et qu'on ne devait pas admettre qu'il en irait autrement à l'avenir. Le recours, qui n'invoque que les conditions afférentes au nouvel emploi du plaignant, est dès lors mal fondé. Dispositiv Par ces motifs, la Chambre des poursuites et des faillites: Rejette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